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CC522" w14:textId="77777777" w:rsidR="001C4965" w:rsidRPr="001C4965" w:rsidRDefault="001C4965" w:rsidP="001C4965">
      <w:pPr>
        <w:rPr>
          <w:b/>
          <w:bCs/>
        </w:rPr>
      </w:pPr>
      <w:r w:rsidRPr="001C4965">
        <w:rPr>
          <w:b/>
          <w:bCs/>
        </w:rPr>
        <w:t>Requested Changes</w:t>
      </w:r>
    </w:p>
    <w:p w14:paraId="6A5A77EF" w14:textId="77777777" w:rsidR="001C4965" w:rsidRDefault="001C4965" w:rsidP="001C4965"/>
    <w:p w14:paraId="22F38B49" w14:textId="35F15ACF" w:rsidR="001C4965" w:rsidRDefault="009C1F4F" w:rsidP="001C4965">
      <w:r>
        <w:t xml:space="preserve">Requesting </w:t>
      </w:r>
      <w:r w:rsidR="001C4965">
        <w:t xml:space="preserve">Amending Subdivision Agreement for Compark South Filing 1 between Compark South Filing 1 and Chambers High Point to reflect the proper allocation of required improvements and accompanying sureties. </w:t>
      </w:r>
    </w:p>
    <w:p w14:paraId="4F494679" w14:textId="77777777" w:rsidR="00A4641B" w:rsidRDefault="00A4641B"/>
    <w:sectPr w:rsidR="00A4641B" w:rsidSect="00B16F8F">
      <w:pgSz w:w="9504" w:h="5472" w:code="3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965"/>
    <w:rsid w:val="001C4965"/>
    <w:rsid w:val="006371A3"/>
    <w:rsid w:val="009C1F4F"/>
    <w:rsid w:val="00A4641B"/>
    <w:rsid w:val="00B16F8F"/>
    <w:rsid w:val="00C66784"/>
    <w:rsid w:val="00D6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250CD"/>
  <w15:chartTrackingRefBased/>
  <w15:docId w15:val="{14444B1A-91D6-4C9A-B4D2-5D1C695B9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96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5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Tuggle</dc:creator>
  <cp:keywords/>
  <dc:description/>
  <cp:lastModifiedBy>Hannah Tuggle</cp:lastModifiedBy>
  <cp:revision>2</cp:revision>
  <dcterms:created xsi:type="dcterms:W3CDTF">2021-12-13T20:55:00Z</dcterms:created>
  <dcterms:modified xsi:type="dcterms:W3CDTF">2021-12-13T21:16:00Z</dcterms:modified>
</cp:coreProperties>
</file>